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BC7" w:rsidRPr="006B7BC7" w:rsidRDefault="006B7BC7" w:rsidP="006B7BC7">
      <w:pPr>
        <w:spacing w:before="100" w:beforeAutospacing="1" w:after="100" w:afterAutospacing="1" w:line="288" w:lineRule="atLeast"/>
        <w:jc w:val="center"/>
        <w:outlineLvl w:val="1"/>
        <w:rPr>
          <w:rFonts w:ascii="Minion Pro" w:eastAsia="Times New Roman" w:hAnsi="Minion Pro" w:cs="Calibri"/>
          <w:b/>
          <w:bCs/>
          <w:color w:val="3F7FC3"/>
          <w:sz w:val="33"/>
          <w:szCs w:val="33"/>
          <w:lang w:eastAsia="hr-HR"/>
        </w:rPr>
      </w:pPr>
      <w:r w:rsidRPr="006B7BC7">
        <w:rPr>
          <w:rFonts w:ascii="Minion Pro" w:eastAsia="Times New Roman" w:hAnsi="Minion Pro" w:cs="Calibri"/>
          <w:b/>
          <w:bCs/>
          <w:color w:val="3F7FC3"/>
          <w:sz w:val="33"/>
          <w:szCs w:val="33"/>
          <w:lang w:eastAsia="hr-HR"/>
        </w:rPr>
        <w:t>NATJEČAJ - Ministarstvo poljoprivrede</w:t>
      </w:r>
    </w:p>
    <w:p w:rsidR="006B7BC7" w:rsidRPr="006B7BC7" w:rsidRDefault="006B7BC7" w:rsidP="006B7BC7">
      <w:pPr>
        <w:spacing w:beforeAutospacing="1" w:after="100" w:afterAutospacing="1" w:line="240" w:lineRule="auto"/>
        <w:jc w:val="center"/>
        <w:outlineLvl w:val="2"/>
        <w:rPr>
          <w:rFonts w:ascii="Calibri" w:eastAsia="Times New Roman" w:hAnsi="Calibri" w:cs="Calibri"/>
          <w:b/>
          <w:bCs/>
          <w:vanish/>
          <w:color w:val="666666"/>
          <w:sz w:val="27"/>
          <w:szCs w:val="27"/>
          <w:lang w:eastAsia="hr-HR"/>
        </w:rPr>
      </w:pPr>
      <w:r w:rsidRPr="006B7BC7">
        <w:rPr>
          <w:rFonts w:ascii="Calibri" w:eastAsia="Times New Roman" w:hAnsi="Calibri" w:cs="Calibri"/>
          <w:b/>
          <w:bCs/>
          <w:vanish/>
          <w:color w:val="666666"/>
          <w:sz w:val="27"/>
          <w:szCs w:val="27"/>
          <w:lang w:eastAsia="hr-HR"/>
        </w:rPr>
        <w:t>NN 132/2015, NATJEČAJ - Ministarstvo poljoprivrede</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Klasa: 324-01/15-01/2415</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proofErr w:type="spellStart"/>
      <w:r w:rsidRPr="006B7BC7">
        <w:rPr>
          <w:rFonts w:ascii="Calibri" w:eastAsia="Times New Roman" w:hAnsi="Calibri" w:cs="Calibri"/>
          <w:color w:val="000000"/>
          <w:sz w:val="24"/>
          <w:szCs w:val="24"/>
          <w:lang w:eastAsia="hr-HR"/>
        </w:rPr>
        <w:t>Urbroj</w:t>
      </w:r>
      <w:proofErr w:type="spellEnd"/>
      <w:r w:rsidRPr="006B7BC7">
        <w:rPr>
          <w:rFonts w:ascii="Calibri" w:eastAsia="Times New Roman" w:hAnsi="Calibri" w:cs="Calibri"/>
          <w:color w:val="000000"/>
          <w:sz w:val="24"/>
          <w:szCs w:val="24"/>
          <w:lang w:eastAsia="hr-HR"/>
        </w:rPr>
        <w:t>: 525-13/1081-15-5 od 30. XI. 2015. (683)</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Na temelju članka 11. stavka 1. Pravilnika o uvjetima, kriterijima i načinu dodjele potpore u okviru mjere IV.4. »Prerada proizvoda ribarstva i akvakulture« (Narodne novine 107/2015 i 129/2015), Ministarstvo poljoprivrede objavljuje</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NATJEČAJ</w:t>
      </w:r>
    </w:p>
    <w:p w:rsidR="006B7BC7" w:rsidRPr="006B7BC7" w:rsidRDefault="006B7BC7" w:rsidP="006B7BC7">
      <w:pPr>
        <w:spacing w:before="100" w:beforeAutospacing="1" w:after="225" w:line="240" w:lineRule="auto"/>
        <w:jc w:val="both"/>
        <w:rPr>
          <w:rFonts w:ascii="Calibri" w:eastAsia="Times New Roman" w:hAnsi="Calibri" w:cs="Calibri"/>
          <w:b/>
          <w:bCs/>
          <w:color w:val="000000"/>
          <w:sz w:val="24"/>
          <w:szCs w:val="24"/>
          <w:lang w:eastAsia="hr-HR"/>
        </w:rPr>
      </w:pPr>
      <w:r w:rsidRPr="006B7BC7">
        <w:rPr>
          <w:rFonts w:ascii="Calibri" w:eastAsia="Times New Roman" w:hAnsi="Calibri" w:cs="Calibri"/>
          <w:b/>
          <w:bCs/>
          <w:color w:val="000000"/>
          <w:sz w:val="24"/>
          <w:szCs w:val="24"/>
          <w:lang w:eastAsia="hr-HR"/>
        </w:rPr>
        <w:t>za dodjelu potpore u okviru mjere IV.4. »Prerada proizvoda ribarstva i akvakulture«.</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1. PREDMET NATJEČAJA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(1) Predmet ovoga Natječaja su ulaganja u preradu proizvoda ribarstva i akvakulture sukladno članku 3. Pravilnika o uvjetima, kriterijima i načinu dodjele potpore u okviru mjere IV.4. »Prerada proizvoda ribarstva i akvakulture« (Narodne novine broj 107/2015 i 129/2015) (u daljnjem tekstu: Pravilnik).</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(2) Pravilnik je dostupan na službenim mrežnim stranicama Narodnih novina (www.nn.hr) i Ministarstva poljoprivrede, Uprava ribarstva (u daljnjem tekstu: Ministarstvo) (www.mps.hr/ribarstvo).</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2. PRIHVATLJIVI KORISNICI</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Prihvatljivi korisnici su fizičke ili pravne osobe koji udovoljavaju uvjetima i kriterijima propisanim Pravilnikom i ovim Natječajem.</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3. IZNOS I UDIO POTPORE</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Iznos i intenzitet javne potpore propisani su člankom 10. Pravilnika.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4. EKONOMSKA I FINANCIJSKA ODRŽIVOST TE OPRAVDANOST VISINE TROŠKOVA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(1) Za potrebe članka 9. stavka 10. Pravilnika, korisnik je dužan postupati sukladno Prilogu II. ovoga Natječaja.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(2) Za potrebe članka 9. stavka 11. Pravilnika, korisnik je dužan postupati sukladno Prilogu III. ovoga Natječaja.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5. NAČIN I UVJETI PODNOŠENJA ZAHTJEVA ZA POTPORU</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(1) Korisnik podnosi Zahtjev za potporu na obrascu Zahtjev za potporu koji je dostupan na mrežnim stranicama Upravljačkog tijela (www.mps.hr/ribarstvo/).</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lastRenderedPageBreak/>
        <w:t>(2) Prilikom podnošenja Zahtjeva za potporu korisnik uz obrazac Zahtjeva za potporu obvezno prilaže dokumentaciju propisanu Prilogom I. ovoga Natječaja.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(3) Obrazac Zahtjeva za potporu se popunjava u elektroničkom obliku. Detaljne upute za podnošenje Zahtjeva za potporu nalaze se u Vodiču za korisnike potpora iz Europskog fonda za pomorstvo i ribarstvo – Mjera IV.4. »Prerada proizvoda ribarstva i akvakulture«, koji je dostupan na mrežnim stranicama Upravljačkog tijela (www.mps.hr/ribarstvo/).</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(4) Zahtjev za potporu potpisan i ovjeren od strane korisnika, kao i popratna dokumentacija za koju nije drugačije navedeno u Prilogu I. ovoga Natječaja podnosi se u tiskanom obliku preporučenom poštom ili osobno, u zatvorenoj omotnici na čijoj poleđini treba čitko ispisati ime i adresu pošiljatelja i dostaviti je na adresu: Ministarstvo poljoprivrede, Uprava ribarstva, Planinska 2a, 10000 Zagreb, s naznakom: »Natječaj za dodjelu potpore u okviru mjere IV.4. Prerada proizvoda ribarstva i akvakulture – ne otvarati«.</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6. OBRADA ZAHTJEVA ZA POTPORU I DONOŠENJE ODLUKA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(1) Zahtjevi za potporu pristigli po objavljenom Natječaju obrađuju se po redoslijedu zaprimanja.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(2) U okviru administrativne kontrole formirat će se rang-lista sukladno članku 13. Pravilnika.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(3) Nakon završetka administrativne kontrole Zahtjeva za potporu te ako je primjenjivo postupka rješavanja po prigovorima, donijet će se Odluke sukladno člancima 14. i 15. Pravilnika.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7. NAČIN I UVJETI PODNOŠENJA ZAHTJEVA ZA ISPLATU</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(1) Zahtjev za isplatu se podnosi putem obrasca Zahtjeva za isplatu koji je dostupan na mrežnim stranicama Upravljačkog tijela (www.mps.hr/ribarstvo).</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(2) Prilikom podnošenja Zahtjeva za isplatu korisnik je uz obrazac Zahtjeva za isplatu obavezan priložiti svu dokumentaciju koja će korisniku biti propisana u Odluci o dodjeli sredstava. Obrazac Zahtjeva za isplatu se popunjava u elektroničkom obliku. Detaljne upute za podnošenje Zahtjeva za isplatu nalaze se u člancima 18. i 19. Pravilnika te u Vodiču za korisnike potpora iz Europskog fonda za pomorstvo i ribarstvo – Mjera IV.4. »Prerada proizvoda ribarstva i akvakulture«, koji je dostupan na mrežnim stranicama Upravljačkog tijela (www.mps.hr/ribarstvo).</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(3) Postupak obrade Zahtjeva za isplatu i donošenje Odluka definirani su člancima 18. – 20. Pravilnika.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 xml:space="preserve">(4) Zahtjev za isplatu potpisan i ovjeren od strane korisnika, kao i pripadajuća dokumentacija, podnose se u tiskanom obliku, preporučenom poštom ili osobno, u zatvorenoj omotnici na čijoj poleđini treba čitko ispisati ime i adresu pošiljatelja i dostaviti je na adresu: Ministarstvo poljoprivrede, Uprava ribarstva, Planinska 2a, 10000 Zagreb, s naznakom: »Zahtjev za isplatu – mjera IV.4. Prerada proizvoda ribarstva i </w:t>
      </w:r>
      <w:proofErr w:type="spellStart"/>
      <w:r w:rsidRPr="006B7BC7">
        <w:rPr>
          <w:rFonts w:ascii="Calibri" w:eastAsia="Times New Roman" w:hAnsi="Calibri" w:cs="Calibri"/>
          <w:color w:val="000000"/>
          <w:sz w:val="24"/>
          <w:szCs w:val="24"/>
          <w:lang w:eastAsia="hr-HR"/>
        </w:rPr>
        <w:t>i</w:t>
      </w:r>
      <w:proofErr w:type="spellEnd"/>
      <w:r w:rsidRPr="006B7BC7">
        <w:rPr>
          <w:rFonts w:ascii="Calibri" w:eastAsia="Times New Roman" w:hAnsi="Calibri" w:cs="Calibri"/>
          <w:color w:val="000000"/>
          <w:sz w:val="24"/>
          <w:szCs w:val="24"/>
          <w:lang w:eastAsia="hr-HR"/>
        </w:rPr>
        <w:t xml:space="preserve"> akvakulture – ne otvarati«.</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lastRenderedPageBreak/>
        <w:t>8. ROKOVI ZA PODNOŠENJE ZAHTJEVA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 xml:space="preserve">(1) Rok za podnošenje Zahtjeva za potporu počinje teći dan nakon objave ovoga natječaja u Narodnim novinama i traje do </w:t>
      </w:r>
      <w:r w:rsidRPr="006B7BC7">
        <w:rPr>
          <w:rFonts w:ascii="Calibri" w:eastAsia="Times New Roman" w:hAnsi="Calibri" w:cs="Calibri"/>
          <w:b/>
          <w:bCs/>
          <w:color w:val="000000"/>
          <w:sz w:val="24"/>
          <w:szCs w:val="24"/>
          <w:lang w:eastAsia="hr-HR"/>
        </w:rPr>
        <w:t>1. veljače 2016.</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(2) Za nepravovremeno podnesene Zahtjeve korisniku će biti izdana Odluka o odbijanju.</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PRILOG I.</w:t>
      </w:r>
    </w:p>
    <w:p w:rsidR="006B7BC7" w:rsidRPr="006B7BC7" w:rsidRDefault="006B7BC7" w:rsidP="006B7BC7">
      <w:pPr>
        <w:spacing w:before="100" w:beforeAutospacing="1" w:line="240" w:lineRule="auto"/>
        <w:jc w:val="center"/>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DOKUMENTACIJA ZA PODNOŠENJE ZAHTJEVA ZA POTPORU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1"/>
        <w:gridCol w:w="8625"/>
      </w:tblGrid>
      <w:tr w:rsidR="006B7BC7" w:rsidRPr="006B7BC7" w:rsidTr="006B7BC7">
        <w:trPr>
          <w:tblCellSpacing w:w="15" w:type="dxa"/>
        </w:trPr>
        <w:tc>
          <w:tcPr>
            <w:tcW w:w="0" w:type="auto"/>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MJERA IV.4. »PRERADA PROIZVODA RIBARSTVA I AKVAKULTURE«</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1.</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Potpisan i ovjeren obrazac Zahtjeva za potporu.</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Korisnik preuzima Zahtjev za potporu s mrežne stranice Upravljačkog tijela (www.mps.hr/ribarstvo/), popunjava ga u elektroničkom obliku, ovjerava i dostavlja kao original u tiskanom obliku.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2.</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Dokumentacija o registraciji predmeta poslovanja – djelatnosti za preradu proizvoda ribarstva: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xml:space="preserve">a) kad je podnositelj trgovačko društvo ili zadruga, </w:t>
            </w:r>
            <w:proofErr w:type="spellStart"/>
            <w:r w:rsidRPr="006B7BC7">
              <w:rPr>
                <w:rFonts w:ascii="Calibri" w:eastAsia="Times New Roman" w:hAnsi="Calibri" w:cs="Calibri"/>
                <w:i/>
                <w:iCs/>
                <w:color w:val="666666"/>
                <w:sz w:val="21"/>
                <w:szCs w:val="21"/>
                <w:lang w:eastAsia="hr-HR"/>
              </w:rPr>
              <w:t>preslik</w:t>
            </w:r>
            <w:proofErr w:type="spellEnd"/>
            <w:r w:rsidRPr="006B7BC7">
              <w:rPr>
                <w:rFonts w:ascii="Calibri" w:eastAsia="Times New Roman" w:hAnsi="Calibri" w:cs="Calibri"/>
                <w:i/>
                <w:iCs/>
                <w:color w:val="666666"/>
                <w:sz w:val="21"/>
                <w:szCs w:val="21"/>
                <w:lang w:eastAsia="hr-HR"/>
              </w:rPr>
              <w:t xml:space="preserve"> rješenja o upisu u sudski registar ili izvadak iz sudskog registra ne starije od trideset (30) dana na dan podnošenja Zahtjeva za potporu;</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xml:space="preserve">b) kad je podnositelj obrt, </w:t>
            </w:r>
            <w:proofErr w:type="spellStart"/>
            <w:r w:rsidRPr="006B7BC7">
              <w:rPr>
                <w:rFonts w:ascii="Calibri" w:eastAsia="Times New Roman" w:hAnsi="Calibri" w:cs="Calibri"/>
                <w:i/>
                <w:iCs/>
                <w:color w:val="666666"/>
                <w:sz w:val="21"/>
                <w:szCs w:val="21"/>
                <w:lang w:eastAsia="hr-HR"/>
              </w:rPr>
              <w:t>preslik</w:t>
            </w:r>
            <w:proofErr w:type="spellEnd"/>
            <w:r w:rsidRPr="006B7BC7">
              <w:rPr>
                <w:rFonts w:ascii="Calibri" w:eastAsia="Times New Roman" w:hAnsi="Calibri" w:cs="Calibri"/>
                <w:i/>
                <w:iCs/>
                <w:color w:val="666666"/>
                <w:sz w:val="21"/>
                <w:szCs w:val="21"/>
                <w:lang w:eastAsia="hr-HR"/>
              </w:rPr>
              <w:t xml:space="preserve"> rješenja o upisu u obrtni registar ili izvadak iz obrtnog registra ne starije od trideset (30) dana na dan podnošenja Zahtjeva za potporu;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3.</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Izvod iz Upisnika odobrenih odnosno registriranih objekata u poslovanju s hranom životinjskog podrijetla sukladno Pravilniku o registraciji subjekata te registraciji i odobravanju objekata u poslovanju s hranom (Narodne novine 84/2015).</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Objekt mora biti odobren odnosno registriran za preradu proizvoda ribarstva. Ovaj dokument se dostavlja uz Zahtjev za potporu ili najkasnije uz Zahtjev za isplatu, sukladno članku 8. stavku 1. točki a) Pravilnika.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xml:space="preserve">Dokument se dostavlja kao </w:t>
            </w:r>
            <w:proofErr w:type="spellStart"/>
            <w:r w:rsidRPr="006B7BC7">
              <w:rPr>
                <w:rFonts w:ascii="Calibri" w:eastAsia="Times New Roman" w:hAnsi="Calibri" w:cs="Calibri"/>
                <w:i/>
                <w:iCs/>
                <w:color w:val="666666"/>
                <w:sz w:val="21"/>
                <w:szCs w:val="21"/>
                <w:lang w:eastAsia="hr-HR"/>
              </w:rPr>
              <w:t>preslik</w:t>
            </w:r>
            <w:proofErr w:type="spellEnd"/>
            <w:r w:rsidRPr="006B7BC7">
              <w:rPr>
                <w:rFonts w:ascii="Calibri" w:eastAsia="Times New Roman" w:hAnsi="Calibri" w:cs="Calibri"/>
                <w:i/>
                <w:iCs/>
                <w:color w:val="666666"/>
                <w:sz w:val="21"/>
                <w:szCs w:val="21"/>
                <w:lang w:eastAsia="hr-HR"/>
              </w:rPr>
              <w:t xml:space="preserve"> u tiskanom obliku.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4.</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Potvrda o izvršenim financijskim obvezama prema Državnom proračunu Republike Hrvatske koju izdaje nadležni područni ured Porezne uprave Ministarstva financija ne starija od trideset (30) dana na dan podnošenja Zahtjeva za potporu.</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lastRenderedPageBreak/>
              <w:t>Dokument se dostavlja kao original u tiskanom obliku.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lastRenderedPageBreak/>
              <w:t>5.</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xml:space="preserve">Potvrda trgovačkog suda da korisnik nije u stečaju, </w:t>
            </w:r>
            <w:proofErr w:type="spellStart"/>
            <w:r w:rsidRPr="006B7BC7">
              <w:rPr>
                <w:rFonts w:ascii="Calibri" w:eastAsia="Times New Roman" w:hAnsi="Calibri" w:cs="Calibri"/>
                <w:color w:val="666666"/>
                <w:sz w:val="21"/>
                <w:szCs w:val="21"/>
                <w:lang w:eastAsia="hr-HR"/>
              </w:rPr>
              <w:t>predstečajnom</w:t>
            </w:r>
            <w:proofErr w:type="spellEnd"/>
            <w:r w:rsidRPr="006B7BC7">
              <w:rPr>
                <w:rFonts w:ascii="Calibri" w:eastAsia="Times New Roman" w:hAnsi="Calibri" w:cs="Calibri"/>
                <w:color w:val="666666"/>
                <w:sz w:val="21"/>
                <w:szCs w:val="21"/>
                <w:lang w:eastAsia="hr-HR"/>
              </w:rPr>
              <w:t xml:space="preserve"> postupku ili likvidaciji u trenutku ishođenja Potvrde, ne starija od 3 mjeseca na dan podnošenja Zahtjeva za potporu.</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Odnosi se na pravne osobe.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Dokument se dostavlja kao original u tiskanom obliku.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6.</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BON-2/SOL-2 podaci o solventnosti ne stariji od 30 dana na dan podnošenja Zahtjeva za potporu.</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Podnositelj mora priložiti BON-2/SOL-2 podatke o solventnosti, izdane od svih banaka u kojima podnositelj ima otvoren račun i koji se nalaze na popisu u Izvatku iz Jedinstvenog registra računa poslovnih subjekata. Račun podnositelja ne smije biti blokiran:</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više od 30 dana u posljednjih 6 mjeseci niti</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više od 20 dana kontinuirano.</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7.</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Potvrda porezne uprave – u slučaju da korisnik nije obveznik PDV-a i ako je PDV prihvatljiv trošak.</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Potvrda ne smije biti starija od 30 dana od dana podnošenja Zahtjeva za potporu.</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Dokument se dostavlja kao original u tiskanom obliku.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8.</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Izjava – Razvrstavanje poduzetnika s obzirom na veličinu</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Obrazac Izjave je obvezno ispuniti sukladno definiciji mikro, malih i srednjih poduzeća iz Preporuke Komisije 2003/361/EZ od 6. svibnja 2003. o definiciji mikro, malih ili srednjih poduzeća (Službeni list Europske unije L 124 od 20. svibnja 2003.), te uputama i pojašnjenjima navedenim u obrascu.</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Obrazac se preuzima s mrežne stranice Upravljačkog tijela (www.mps.hr/ribarstvo/), ispunjava u elektroničkom obliku, ovjerava i dostavlja kao original u tiskanom obliku.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9.</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Dokumenti kojima se dokazuje vlasništvo/pravo građenja/pravo korištenja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a) Izvadak iz zemljišne knjige kao dokaz prava vlasništva korisnika ili prava građenja (list A, B, C), ne stariji od 3 mjeseca na dan podnošenja Zahtjeva za potporu.</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lastRenderedPageBreak/>
              <w:t>b) Ugovor o najmu kojim korisnik dokazuje da ima pravo koristiti određenu građevinu/objekt/prostor ulaganja (podnositelj mora dokazati da ima pravo najma ili stečeno pravo zakupa s trajanjem najmanje sedam godina od datuma podnošenja Zahtjeva za potporu).</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Iznimke: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Dokumente pod a) i b) nije potrebno dostaviti za nabavu u pokretne imovine (npr. specijalizirano vozilo) koja nije vezana za određenu građevinu/objekt/prostor ulaganja;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U slučaju kada korisnik ima s nadležnom institucijom koja zastupa RH sklopljen ugovor o najmu/zakupu, isti može važiti i manje od sedam godina računajući od datuma podnošenja Zahtjeva za potporu, uz uvjet da je korisnik dužan obnoviti važenje istoga po isteku roka važenja i dostaviti novi ugovor o najmu/zakupu Upravljačkom tijelu (Ministarstvo poljoprivrede, Uprava ribarstva) koje je nadležno za kontrolu na terenu.</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U slučaju da je korisnik ujedno i jedini vlasnik građevine/objekta/prostora ulaganja potrebno je dostaviti dokument pod 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U slučaju da je korisnik suvlasnik građevine/objekta/prostora ulaganja na kojoj će se provoditi ulaganje potrebno je dostaviti dokumente a) i b);</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U slučaju kada korisnik nije vlasnik građevine/objekta/prostora ulaganja na kojoj će se provoditi ulaganje potrebno je dostaviti dokumente a) i b).</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lastRenderedPageBreak/>
              <w:t>10.</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xml:space="preserve">Dokument kojim se odobrava građenje ili odgovarajući dokument koji dokazuje da se određeno ulaganje može provesti bez izdavanja dokumenta kojim se odobrava građenje, izdan od nadležnog upravnog tijela sukladno Zakonu o prostornom uređenju (Narodne novine broj 153/2013), Zakonu o gradnji (Narodne novine broj 153/2013), Zakonu o postupanju s nezakonito izgrađenim zgradama (Narodne novine broj 86/2012 i 143/2013), Zakonu o postupanju i uvjetima gradnje radi poticanja ulaganja (Narodne novine broj 69/2009, 128/2010, 136/2012, 76/2013, 153/2013) i </w:t>
            </w:r>
            <w:proofErr w:type="spellStart"/>
            <w:r w:rsidRPr="006B7BC7">
              <w:rPr>
                <w:rFonts w:ascii="Calibri" w:eastAsia="Times New Roman" w:hAnsi="Calibri" w:cs="Calibri"/>
                <w:color w:val="666666"/>
                <w:sz w:val="21"/>
                <w:szCs w:val="21"/>
                <w:lang w:eastAsia="hr-HR"/>
              </w:rPr>
              <w:t>podzakonskim</w:t>
            </w:r>
            <w:proofErr w:type="spellEnd"/>
            <w:r w:rsidRPr="006B7BC7">
              <w:rPr>
                <w:rFonts w:ascii="Calibri" w:eastAsia="Times New Roman" w:hAnsi="Calibri" w:cs="Calibri"/>
                <w:color w:val="666666"/>
                <w:sz w:val="21"/>
                <w:szCs w:val="21"/>
                <w:lang w:eastAsia="hr-HR"/>
              </w:rPr>
              <w:t xml:space="preserve"> propisima donesenim na temelju njih.</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Za ulaganja koja se odnose isključivo na opremanje potrebno je dostaviti dokument kojim se dokazuje legalnost građevine na koju se odnosi opremanje (pr. pravomoćna uporabna dozvola).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Za ulaganja na koja se ne primjenjuju iznad navedeni propisi (npr. pokretna imovina), nije potrebno dostaviti dokumentaciju pod ovom točkom.</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Ako je za ulaganje koje je predmet potpore u trenutku podnošenja Zahtjeva za potporu u postupku ishođenje dokumenta kojim se odobrava građenje, korisnik ne smije dovoditi u pitanje odredbe zakonskih propisa koji isto reguliraju, tj. ne smije započeti postupak gradnje prije ishođenja odgovarajućeg dokumenta. U tom slučaju, korisnik je dužan isti dostaviti Upravljačkom tijelu odmah po ishođenju, uz informaciju o početku postupka gradnje, ali najkasnije do podnošenja Zahtjeva za isplatu.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lastRenderedPageBreak/>
              <w:t>11.</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xml:space="preserve">Dokumenti vezani uz odredbe Zakona o zaštiti okoliša (Narodne novine broj 80/2013, 153/2013 i 78/2015), Zakona o zaštiti prirode (Narodne novine broj 80/2013) i </w:t>
            </w:r>
            <w:proofErr w:type="spellStart"/>
            <w:r w:rsidRPr="006B7BC7">
              <w:rPr>
                <w:rFonts w:ascii="Calibri" w:eastAsia="Times New Roman" w:hAnsi="Calibri" w:cs="Calibri"/>
                <w:color w:val="666666"/>
                <w:sz w:val="21"/>
                <w:szCs w:val="21"/>
                <w:lang w:eastAsia="hr-HR"/>
              </w:rPr>
              <w:t>podzakonskih</w:t>
            </w:r>
            <w:proofErr w:type="spellEnd"/>
            <w:r w:rsidRPr="006B7BC7">
              <w:rPr>
                <w:rFonts w:ascii="Calibri" w:eastAsia="Times New Roman" w:hAnsi="Calibri" w:cs="Calibri"/>
                <w:color w:val="666666"/>
                <w:sz w:val="21"/>
                <w:szCs w:val="21"/>
                <w:lang w:eastAsia="hr-HR"/>
              </w:rPr>
              <w:t xml:space="preserve"> propisa donesenim na temelju njih:</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Okoliš:</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za ulaganja iz članka 4. stavka 1. točke a) Pravilnika: Rješenje središnjeg tijela državne uprave nadležnog za zaštitu okoliša i prirode da za predmetni zahvat nije potrebno provoditi procjenu utjecaja na okoliš odnosno Rješenje središnjeg tijela državne uprave nadležnog za zaštitu okoliša i prirode o prihvatljivosti zahvata za okoliš</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za ulaganja iz članka 4. stavka 1. točke b) Pravilnika u slučaju kada se ugradnjom navedene opreme povećava kapacitet prerade tog objekta: Rješenje središnjeg tijela državne uprave nadležnog za zaštitu okoliša i prirode da za predmetni zahvat nije potrebno provoditi procjenu utjecaja na okoliš odnosno Rješenje središnjeg tijela državne uprave nadležnog za zaštitu okoliša i prirode o prihvatljivosti zahvata za okoliš</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za ulaganja iz članka 4. stavka 1. točki c), d), e), f) i g) Pravilnika: nije potrebno ishoditi nikakav akt vezano uz Uredbu o procjeni utjecaja zahvata na okoliš.</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Priroda: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za ulaganja iz članka 4. stavka 1. točke a) Pravilnika: potrebno je provesti prethodnu ocjenu prihvatljivosti za ekološku mrežu u okviru postupka ocjene o potrebi procjene utjecaja na okoliš (nadležno je središnje tijelo državne uprave nadležno za zaštitu okoliša i prirode). Ako se ne provodi postupak ocjene o potrebi procjene utjecaja na okoliš prethodnu ocjenu potrebno je provesti kao samostalni postupak pri tijelu nadležnom za poslove zaštite prirode prema članku 29. Zakona o zaštiti prirode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za ulaganja iz članka 4. stavka 1. točke b) Pravilnika: ako se provodi postupak ocjene o potrebi procjene utjecaja na okoliš u okviru istoga provest će se i prethodna ocjena, u protivnom prethodna ocjena nije potrebna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za ulaganja iz članka 4. stavka 1. točki c) i d) Pravilnika: potrebno je provesti postupak prethodne ocjene za ulaganja u izgradnju i/ili rekonstrukciju (kod nadležnog tijela iz članka 29. Zakona o zaštiti prirode) dok za ulaganja u opremanje nije potrebno provesti postupak</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ulaganja iz članka 4. stavka 1. točki e), f) i g): nije potrebna provedba postupka prethodne ocjene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Ako je za ulaganje koje je predmet potpore u trenutku podnošenja Zahtjeva za potporu u postupku ishođenje dokumenta iz područja zaštite prirode i okoliša, korisnik ne smije dovoditi u pitanje odredbe zakonskih propisa koji isto reguliraju, tj. odredbe članka 6. stavka 5. Pravilnika te ne smije započeti postupak izgradnje/rekonstrukcije/opremanja prije ishođenja odgovarajućeg dokumenta. U tom slučaju, korisnik je dužan isti dostaviti Upravljačkom tijelu odmah po ishođenju, uz informaciju o početku postupka izgradnje/rekonstrukcije/opremanja, ali najkasnije do podnošenja Zahtjeva za isplatu.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12.</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 xml:space="preserve">Glavni projekt te prema potrebi elaborat/i koji prethode izradi glavnog projekta poput elaborata tehničko-tehnološkog rješenja, tipski projekt, sukladno Zakonu o gradnji (Narodne novine broj 153/2013), ili projektno-tehnička dokumentacija izrađena, potpisana i ovjerena od strane </w:t>
            </w:r>
            <w:r w:rsidRPr="006B7BC7">
              <w:rPr>
                <w:rFonts w:ascii="Calibri" w:eastAsia="Times New Roman" w:hAnsi="Calibri" w:cs="Calibri"/>
                <w:color w:val="666666"/>
                <w:sz w:val="21"/>
                <w:szCs w:val="21"/>
                <w:lang w:eastAsia="hr-HR"/>
              </w:rPr>
              <w:lastRenderedPageBreak/>
              <w:t>ovlaštenog projektanta kojom se daju osnovna oblikovno-funkcionalna i tehnička rješenja zahvata u prostoru, ovisno o vrsti nabave/ulaganja (npr. situacija, tlocrti, presjeci, pogledi, prostorni prikaz objekta, projekti instalacija, elektrotehnički projekt, elaborat tehničko-tehnološkog rješenja).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U slučaju nabave/ulaganja koje se odnosi na izgradnju/rekonstrukciju/opremanje (oprema koja se ugrađuje u objekt) korisnik treba dostaviti Glavni projekt izrađen sukladno Zakonu o gradnji. U slučaju da za određenu nabavu/ulaganje nije potrebno izraditi Glavni projekt sukladno Zakonu o gradnji, tada je potrebno dostaviti drugu projektno tehničku dokumentaciju izrađenu, potpisanu i ovjerenu od strane ovlaštenog projektanta, a koja podrazumijeva zamjenu za relevantne dijelove glavnog projekta ovisno o vrsti nabave/ulaganja;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 U slučaju nabave/ulaganja u pokretnu opremu (npr. specijalno vozilo), opreme koja se ne ugrađuje u objekt te opremanje na otvorenom nije potrebno dostaviti gore navedenu dokumentaciju;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lastRenderedPageBreak/>
              <w:t>13.</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Troškovnik ovjeren od ovlaštene osobe za nabavu/ulaganja koja se odnose na izgradnju/rekonstrukciju.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14.</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Dokumenti vezani uz postupke nabave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Za predmete nabave vrijednosti do 35.000,00 kuna (bez PDV-a):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1. Jedna ponuda za svaki predmet nabave manji od 35.000,00 kuna (bez PDV-a), u papirnatom obliku potpisanu i ovjerenu od ponuditelja. Za trošak nastao prije podnošenja Zahtjeva za potporu umjesto ponude može se dostaviti račun, potpisan i ovjeren od ponuditelja.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 Kod određivanja vrijednosti predmeta nabave iznosi se zbrajaju kada ih realizira jedan ponuditelj, bez obzira na njihovu prirodu (oprema, rad ili usluge), u okviru jedne operacije, te u slučaju kada jedan ponuditelj daje više ponuda čija je zbirna vrijednost veća od 35.000,00 kuna (bez PDV-a), primjenjuju se odredbe za predmete nabave vrijednosti veće od 35.000,00 kuna (bez PDV-a).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Za predmete nabave vrijednosti veće od 35.000,00 kuna (bez PDV-a):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1. Sažetak izbora ponuda za svaki predmet nabave koji mora sadržavati elemente definirane Prilogom II. ovoga Natječaja.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2. Tri ponude za svaki predmet nabave veći od 35.000,00 kuna (bez PDV-a), u papirnatom obliku potpisane i ovjerene od ponuditelja i u elektroničkom obliku na CD-u isključivo u MS Office Excel formatu. Za trošak nastao prije podnošenja Zahtjeva za potporu umjesto odabrane ponude može se dostaviti račun, potpisan i ovjeren od ponuditelja.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3. Upit za ponudu s priloženom tehničkom specifikacijom/troškovnikom za svaku priloženu ponudu, potpisan i ovjeren od ponuditelja.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 Korisnik mora isti Upit za ponudu s istim tehničkim specifikacijama/ troškovnicima poslati svim ponuditeljima unutar pojedinog predmeta nabave.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lastRenderedPageBreak/>
              <w:t>Sva dokumentacija u okviru točke mora biti dostavljena u izvornom obliku ili preslici s potvrdom javnog bilježnika da preslika odgovara izvorniku.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lastRenderedPageBreak/>
              <w:t>15.</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Prijava poreza na dohodak (obrazac DOH) za prethodnu financijsku godinu ovjeren od strane porezne uprave s pripadajućom Rekapitulacijom primitaka i izdataka za razdoblje od 1. siječnja do 31. prosinca prethodne financijske godine, ovjerenom i potpisanom od strane korisnika. Ako korisnik, sukladno nacionalnom zakonodavstvu, nije bio obvezan predati prijavu poreza na dohodak priložiti odgovarajući dokument kojim isto dokazuje.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 Odnosi se samo na obveznike poreza na dohodak</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16.</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Godišnji financijski izvještaj (obrazac GFI) za prethodnu financijsku godinu ovjeren od FINA-e (prihvatljiva je i potvrda FINA-e izdana u elektroničkom obliku). Ako sukladno nacionalnom zakonodavstvu korisnik nije bio obvezan predati GFI, priložiti odgovarajući dokument kojim isto dokazuje.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 Odnosi se obveznike poreza na dobit.</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17.</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Popis dugotrajne imovine na dan 31. prosinca prethodne financijske godine, potpisan i ovjeren od strane korisnika ili potpisana i ovjerena Izjava korisnika da nema dugotrajnu imovinu.</w:t>
            </w:r>
          </w:p>
        </w:tc>
      </w:tr>
      <w:tr w:rsidR="006B7BC7" w:rsidRPr="006B7BC7" w:rsidTr="006B7BC7">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18.</w:t>
            </w:r>
          </w:p>
        </w:tc>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hideMark/>
          </w:tcPr>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color w:val="666666"/>
                <w:sz w:val="21"/>
                <w:szCs w:val="21"/>
                <w:lang w:eastAsia="hr-HR"/>
              </w:rPr>
              <w:t>Poslovni plan u cijelosti popunjen u skladu s pripadajućim uputama i pojašnjenjima</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Pojašnjenje:</w:t>
            </w:r>
          </w:p>
          <w:p w:rsidR="006B7BC7" w:rsidRPr="006B7BC7" w:rsidRDefault="006B7BC7" w:rsidP="006B7BC7">
            <w:pPr>
              <w:spacing w:before="100" w:beforeAutospacing="1" w:after="225" w:line="240" w:lineRule="auto"/>
              <w:rPr>
                <w:rFonts w:ascii="Calibri" w:eastAsia="Times New Roman" w:hAnsi="Calibri" w:cs="Calibri"/>
                <w:color w:val="666666"/>
                <w:sz w:val="21"/>
                <w:szCs w:val="21"/>
                <w:lang w:eastAsia="hr-HR"/>
              </w:rPr>
            </w:pPr>
            <w:r w:rsidRPr="006B7BC7">
              <w:rPr>
                <w:rFonts w:ascii="Calibri" w:eastAsia="Times New Roman" w:hAnsi="Calibri" w:cs="Calibri"/>
                <w:i/>
                <w:iCs/>
                <w:color w:val="666666"/>
                <w:sz w:val="21"/>
                <w:szCs w:val="21"/>
                <w:lang w:eastAsia="hr-HR"/>
              </w:rPr>
              <w:t>Korisnik preuzima obrazac Poslovnog plana s mrežne stranice Upravljačkog tijela (www.mps.hr/ribarstvo) ili Agencije za plaćanja (www.apprrr.hr), popunjava ga u elektroničkom obliku sukladno Prilogu III. ovoga Natječaja i dostavlja u tiskanom obliku te na CD-u.</w:t>
            </w:r>
          </w:p>
        </w:tc>
      </w:tr>
    </w:tbl>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Ako se tijekom administrativne obrade ukaže potreba za dostavom dodatnih podataka ili dokumentacije, tijela iz članka 12. stavka 1. Pravilnika imaju pravo od korisnika zahtijevati dostavu istog u svrhu dokazivanja usklađenosti operacije sa važećim primjenjivim propisima.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PRILOG II.</w:t>
      </w:r>
    </w:p>
    <w:p w:rsidR="006B7BC7" w:rsidRPr="006B7BC7" w:rsidRDefault="006B7BC7" w:rsidP="006B7BC7">
      <w:pPr>
        <w:spacing w:before="100" w:beforeAutospacing="1" w:after="225" w:line="240" w:lineRule="auto"/>
        <w:jc w:val="center"/>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PRAVILA I UPUTE ZA PROVEDBU NABAVE</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Korisnici koji nisu obveznici provedbe nabave sukladno Zakonu o javnoj nabavi te korisnici koji su obveznici provedbe postupka javne nabave prema Zakonu o javnoj nabavi u slučajevima kada predmet nabave ima procijenjenu vrijednost manju od pragova propisanih Zakonom o javnoj nabavi i za koje nije potrebno provoditi postupke javne nabave (bagatelna nabava), obvezni su provesti postupak na način opisan u nastavku te dostaviti dokumentaciju navedenu u točki 14. Priloga I. ovoga Natječaja: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U svrhu osiguranja opravdanosti visine troškova korisnika je obvezan prikupiti i odabrati ponude za prihvatljive troškove vodeći se načelima ekonomičnosti, djelotvornosti i učinkovitosti.</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lastRenderedPageBreak/>
        <w:t>Prije podnošenja Zahtjeva za potporu korisnik je dužan prikupiti najmanje tri (3) sadržajno usporedive ponude za svaki predmet nabave čija vrijednost prelazi 35.000,00 kuna (bez PDV-a)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U slučaju da je korisnik započeo s provedbom operacije prije podnošenja Zahtjeva za potporu i prije objave Natječaja, te ako prilikom odabira ponuditelja nije prikupio najmanje tri (3) ponude za svaki predmet nabave čija vrijednost prelazi 35.000,00 kuna (bez PDV-a), obvezan je naknadno prikupiti dodatne dvije (2) ponude kako bi dokazao opravdanost visine troškova u odabranim ponudama.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U svrhu ispunjenja navedenih obveza, korisnik je dužan poslati upit za ponudu, prema najmanje tri (3) ponuditelja ako na tržištu postoje tri potencijalna ponuditelja u opsegu obuhvaćenim upitom za ponudu. U slučaju nemogućnosti ispunjavanja uvjeta o kojima je riječ (npr. zbog specifičnosti tehnologije proizvodnje korištene od strane podnositelja zahtjeva) korisnik se obvezuje priložit detaljno obrazloženje.</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Upit za ponudu treba sadržavati najmanje sljedeće elemente:</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1. Naziv korisnika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2. Podaci o korisniku i osobi zaduženoj za komunikaciju s ponuditeljima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3. Opis predmeta nabave (tehnička specifikacija/troškovnik), koji se ne smije odnositi na određen predmet, marku, zaštitni znak ili izvor, patent ili specifično porijeklo, te ne smije pogodovati određenom ponuditelju. Ako se iznimno u upit za ponudu stavlja primjer proizvoda, mora se staviti i naznaka »ili jednakovrijedan«. Predmet nabave podrazumijeva robu, rad ili uslugu koja potječe od jednog ponuditelja, pri čemu roba može obuhvaćati jedan predmet, ali i cijelu seriju, rad se može odnositi na jedan pothvat ili više radova, a usluga se može odnositi na jednu uslugu i više vrsta usluga. Kod određivanja vrijednosti predmeta nabave iznosi se zbrajaju kada ih realizira jedan ponuditelj, bez obzira na njihovu prirodu (oprema, rad ili usluge), u okviru jedne operacije.</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4. Način dostave ponuda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5. Rok dostave ponuda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6. Mjesto izvršenja.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Korisnik je između ponuda koje su pristigle kao odgovor na upit za ponude, obvezan izabrati ponudu s najnižom cijenom, a koja zadovoljava sve uvjete navedene u upitu za ponudu.</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Iznimno korisnik ne mora odabrati ponudu s najnižom cijenom, ako za to postoje valjani razlog o čemu će korisnik napisati obrazloženje u Sažetku izbora najpovoljnije ponude. U slučaju da korisnik ne navede obrazloženje s razlozima odabira ponude koja nema najnižu cijenu ili u slučaju da razlozi navedeni u obrazloženju nisu opravdani iznos prihvatljivog ulaganja će se umanjiti sukladno iznosu ponude s najnižom cijenom.</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lastRenderedPageBreak/>
        <w:t>Nakon što prikupi ponude korisnik je dužan izraditi sažetak izbora ponuda koji mora sadržavati najmanje sljedeće elemente:</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1. Popis ponuda, s nazivima ponuditelja i oznakom ponuda koje su zaprimljene od strane korisnika u odgovoru na Upit za ponude za svaki predmet nabave</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2. Specifikaciju podataka iz pojedinih ponuda koje su dokaz ispunjenja uvjeta iz upita za ponudu.</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3. Informaciju o odabranoj ponudi zajedno s obrazloženjem izbora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Ponude moraju biti važeće na dan podnošenja Zahtjeva za potporu, osim odabrane ponude/plaćenog računa kada je korisnik započeo s provedbom operacije prije podnošenja Zahtjeva za potporu i prije objave Natječaja. U tom slučaju samo naknadno prikupljene dodatne dvije (2) ponude moraju biti važeće na dan podnošenja Zahtjeva za potporu.</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Sva dokumentacija mora biti dostavljena u izvornom obliku ili preslici s potvrdom javnog bilježnika da preslika odgovara izvorniku.</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PRILOG III.</w:t>
      </w:r>
    </w:p>
    <w:p w:rsidR="006B7BC7" w:rsidRPr="006B7BC7" w:rsidRDefault="006B7BC7" w:rsidP="006B7BC7">
      <w:pPr>
        <w:spacing w:before="100" w:beforeAutospacing="1" w:after="225" w:line="240" w:lineRule="auto"/>
        <w:jc w:val="center"/>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PRAVILA I UPUTE ZA UTVRĐIVANJE EKONOMSKE I FINANCIJSKE ODRŽIVOSTI</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U svrhu dokazivanja financijske i ekonomske održivosti ulaganja, korisnik je obvezan izraditi poslovni plan te dostaviti odgovarajuću dokumentaciju definiranu točkama 15. – 18. iz Priloga I. ovoga Natječaja.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Poslovni plan treba biti izrađen u skladu s uputama i pojašnjenjima iz obrazaca koji se nalaze na mrežnim stranicama Uprave ribarstva (www.mps.hr/ribarstvo) i Agencije za plaćanja u poljoprivredi, ribarstvu i ruralnom razvoju (www.apprrr.hr) u mapi pod nazivom »POSLOVNI PLAN za mjeru IV.4. »Prerada proizvoda ribarstva i akvakulture«. Poslovni plan je potrebno u cijelosti popuniti sukladno pripadajućim uputama i priložiti Zahtjevu za potporu. Zahtjevi za potporu kod kojih »POSLOVNI PLAN« prilikom podnošenja Zahtjeva za potporu nije u cijelosti popunjen u skladu s pripadajućim uputama i pojašnjenjima, bit će odbijeni.</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Ako će za izračun financijske i/ili ekonomske održivosti projekta biti potrebni dodatni podaci, korisnik će dobiti Zahtjev za obrazloženje i/ili ispravak sa specifikacijom podataka koje treba dostaviti. Korisnik je dužan odgovoriti na Zahtjev za obrazloženje/ispravak poslovnog plana u roku od pet radnih dana. Zahtjevi za potporu za koje korisnik na zaprimljeni Zahtjev za obrazloženje/ispravak ne dostavi tražene podatke u propisanom roku (ili ako ti podaci budu nepotpuni ili neodgovarajućeg sadržaja), bit će odbijeni.</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Kriterij koji će se koristiti za procjenu financijske održivosti projekta je sljedeći:</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a) likvidnost projekta – kumulativ financijskog tijeka mora biti pozitivan od prve do posljednje godine ekonomskog vijeka projekta.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Kriteriji koji će se koristiti za procjenu ekonomske održivosti projekta su sljedeći:</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lastRenderedPageBreak/>
        <w:t>a) razdoblje povrata investicije ne duže od ekonomskog vijeka trajanja projekta bez ostatka vrijednosti projekta,</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b) neto sadašnja vrijednost jednaka ili veća od 0 uz korištenje diskontne stope ne manje od kamatne stope kredita i ne manje od 5 posto,</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c) interna stopa rentabilnosti veća od kamatne stope kredita te veća od 5 posto.</w:t>
      </w:r>
    </w:p>
    <w:p w:rsidR="006B7BC7" w:rsidRPr="006B7BC7" w:rsidRDefault="006B7BC7" w:rsidP="006B7BC7">
      <w:pPr>
        <w:spacing w:before="100" w:beforeAutospacing="1" w:after="225" w:line="240" w:lineRule="auto"/>
        <w:jc w:val="both"/>
        <w:rPr>
          <w:rFonts w:ascii="Calibri" w:eastAsia="Times New Roman" w:hAnsi="Calibri" w:cs="Calibri"/>
          <w:color w:val="000000"/>
          <w:sz w:val="24"/>
          <w:szCs w:val="24"/>
          <w:lang w:eastAsia="hr-HR"/>
        </w:rPr>
      </w:pPr>
      <w:r w:rsidRPr="006B7BC7">
        <w:rPr>
          <w:rFonts w:ascii="Calibri" w:eastAsia="Times New Roman" w:hAnsi="Calibri" w:cs="Calibri"/>
          <w:color w:val="000000"/>
          <w:sz w:val="24"/>
          <w:szCs w:val="24"/>
          <w:lang w:eastAsia="hr-HR"/>
        </w:rPr>
        <w:t>Podaci navedeni u poslovnom planu podložni su provjerama nadležnih institucija i nakon isplate javne potpore i to u razdoblju od pet godina nakon konačne isplate javne potpore.</w:t>
      </w:r>
    </w:p>
    <w:p w:rsidR="006B7BC7" w:rsidRPr="006B7BC7" w:rsidRDefault="006B7BC7" w:rsidP="006B7BC7">
      <w:pPr>
        <w:spacing w:before="100" w:beforeAutospacing="1" w:line="240" w:lineRule="auto"/>
        <w:ind w:left="7344"/>
        <w:jc w:val="right"/>
        <w:rPr>
          <w:rFonts w:ascii="Calibri" w:eastAsia="Times New Roman" w:hAnsi="Calibri" w:cs="Calibri"/>
          <w:b/>
          <w:bCs/>
          <w:color w:val="000000"/>
          <w:sz w:val="24"/>
          <w:szCs w:val="24"/>
          <w:lang w:eastAsia="hr-HR"/>
        </w:rPr>
      </w:pPr>
      <w:r w:rsidRPr="006B7BC7">
        <w:rPr>
          <w:rFonts w:ascii="Calibri" w:eastAsia="Times New Roman" w:hAnsi="Calibri" w:cs="Calibri"/>
          <w:b/>
          <w:bCs/>
          <w:color w:val="000000"/>
          <w:sz w:val="24"/>
          <w:szCs w:val="24"/>
          <w:lang w:eastAsia="hr-HR"/>
        </w:rPr>
        <w:t>Ministarstvo poljoprivrede</w:t>
      </w:r>
    </w:p>
    <w:p w:rsidR="009B3994" w:rsidRDefault="009B3994">
      <w:bookmarkStart w:id="0" w:name="_GoBack"/>
      <w:bookmarkEnd w:id="0"/>
    </w:p>
    <w:sectPr w:rsidR="009B39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inion Pro">
    <w:altName w:val="Times New Roman"/>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BC7"/>
    <w:rsid w:val="006B7BC7"/>
    <w:rsid w:val="009B39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FB5DDD-9851-41F4-A882-052C76295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512553">
      <w:bodyDiv w:val="1"/>
      <w:marLeft w:val="0"/>
      <w:marRight w:val="0"/>
      <w:marTop w:val="0"/>
      <w:marBottom w:val="0"/>
      <w:divBdr>
        <w:top w:val="none" w:sz="0" w:space="0" w:color="auto"/>
        <w:left w:val="none" w:sz="0" w:space="0" w:color="auto"/>
        <w:bottom w:val="none" w:sz="0" w:space="0" w:color="auto"/>
        <w:right w:val="none" w:sz="0" w:space="0" w:color="auto"/>
      </w:divBdr>
      <w:divsChild>
        <w:div w:id="35544339">
          <w:marLeft w:val="0"/>
          <w:marRight w:val="0"/>
          <w:marTop w:val="0"/>
          <w:marBottom w:val="0"/>
          <w:divBdr>
            <w:top w:val="none" w:sz="0" w:space="0" w:color="auto"/>
            <w:left w:val="none" w:sz="0" w:space="0" w:color="auto"/>
            <w:bottom w:val="none" w:sz="0" w:space="0" w:color="auto"/>
            <w:right w:val="none" w:sz="0" w:space="0" w:color="auto"/>
          </w:divBdr>
          <w:divsChild>
            <w:div w:id="1913462693">
              <w:marLeft w:val="0"/>
              <w:marRight w:val="0"/>
              <w:marTop w:val="0"/>
              <w:marBottom w:val="0"/>
              <w:divBdr>
                <w:top w:val="none" w:sz="0" w:space="0" w:color="auto"/>
                <w:left w:val="none" w:sz="0" w:space="0" w:color="auto"/>
                <w:bottom w:val="none" w:sz="0" w:space="0" w:color="auto"/>
                <w:right w:val="none" w:sz="0" w:space="0" w:color="auto"/>
              </w:divBdr>
              <w:divsChild>
                <w:div w:id="2122723054">
                  <w:marLeft w:val="0"/>
                  <w:marRight w:val="0"/>
                  <w:marTop w:val="0"/>
                  <w:marBottom w:val="0"/>
                  <w:divBdr>
                    <w:top w:val="none" w:sz="0" w:space="0" w:color="auto"/>
                    <w:left w:val="none" w:sz="0" w:space="0" w:color="auto"/>
                    <w:bottom w:val="none" w:sz="0" w:space="0" w:color="auto"/>
                    <w:right w:val="none" w:sz="0" w:space="0" w:color="auto"/>
                  </w:divBdr>
                  <w:divsChild>
                    <w:div w:id="1809857337">
                      <w:marLeft w:val="0"/>
                      <w:marRight w:val="0"/>
                      <w:marTop w:val="450"/>
                      <w:marBottom w:val="225"/>
                      <w:divBdr>
                        <w:top w:val="none" w:sz="0" w:space="0" w:color="auto"/>
                        <w:left w:val="none" w:sz="0" w:space="0" w:color="auto"/>
                        <w:bottom w:val="none" w:sz="0" w:space="0" w:color="auto"/>
                        <w:right w:val="none" w:sz="0" w:space="0" w:color="auto"/>
                      </w:divBdr>
                    </w:div>
                    <w:div w:id="1340767768">
                      <w:marLeft w:val="0"/>
                      <w:marRight w:val="0"/>
                      <w:marTop w:val="0"/>
                      <w:marBottom w:val="0"/>
                      <w:divBdr>
                        <w:top w:val="single" w:sz="6" w:space="0" w:color="E4E4E6"/>
                        <w:left w:val="none" w:sz="0" w:space="0" w:color="auto"/>
                        <w:bottom w:val="none" w:sz="0" w:space="0" w:color="auto"/>
                        <w:right w:val="none" w:sz="0" w:space="0" w:color="auto"/>
                      </w:divBdr>
                      <w:divsChild>
                        <w:div w:id="566843223">
                          <w:marLeft w:val="0"/>
                          <w:marRight w:val="0"/>
                          <w:marTop w:val="0"/>
                          <w:marBottom w:val="0"/>
                          <w:divBdr>
                            <w:top w:val="single" w:sz="6" w:space="0" w:color="E4E4E6"/>
                            <w:left w:val="none" w:sz="0" w:space="0" w:color="auto"/>
                            <w:bottom w:val="none" w:sz="0" w:space="0" w:color="auto"/>
                            <w:right w:val="none" w:sz="0" w:space="0" w:color="auto"/>
                          </w:divBdr>
                          <w:divsChild>
                            <w:div w:id="1345595325">
                              <w:marLeft w:val="0"/>
                              <w:marRight w:val="1500"/>
                              <w:marTop w:val="100"/>
                              <w:marBottom w:val="100"/>
                              <w:divBdr>
                                <w:top w:val="none" w:sz="0" w:space="0" w:color="auto"/>
                                <w:left w:val="none" w:sz="0" w:space="0" w:color="auto"/>
                                <w:bottom w:val="none" w:sz="0" w:space="0" w:color="auto"/>
                                <w:right w:val="none" w:sz="0" w:space="0" w:color="auto"/>
                              </w:divBdr>
                              <w:divsChild>
                                <w:div w:id="1005323510">
                                  <w:marLeft w:val="0"/>
                                  <w:marRight w:val="0"/>
                                  <w:marTop w:val="300"/>
                                  <w:marBottom w:val="450"/>
                                  <w:divBdr>
                                    <w:top w:val="none" w:sz="0" w:space="0" w:color="auto"/>
                                    <w:left w:val="none" w:sz="0" w:space="0" w:color="auto"/>
                                    <w:bottom w:val="none" w:sz="0" w:space="0" w:color="auto"/>
                                    <w:right w:val="none" w:sz="0" w:space="0" w:color="auto"/>
                                  </w:divBdr>
                                  <w:divsChild>
                                    <w:div w:id="1844011763">
                                      <w:marLeft w:val="0"/>
                                      <w:marRight w:val="0"/>
                                      <w:marTop w:val="0"/>
                                      <w:marBottom w:val="0"/>
                                      <w:divBdr>
                                        <w:top w:val="none" w:sz="0" w:space="0" w:color="auto"/>
                                        <w:left w:val="none" w:sz="0" w:space="0" w:color="auto"/>
                                        <w:bottom w:val="none" w:sz="0" w:space="0" w:color="auto"/>
                                        <w:right w:val="none" w:sz="0" w:space="0" w:color="auto"/>
                                      </w:divBdr>
                                      <w:divsChild>
                                        <w:div w:id="642927420">
                                          <w:marLeft w:val="0"/>
                                          <w:marRight w:val="0"/>
                                          <w:marTop w:val="0"/>
                                          <w:marBottom w:val="0"/>
                                          <w:divBdr>
                                            <w:top w:val="none" w:sz="0" w:space="0" w:color="auto"/>
                                            <w:left w:val="none" w:sz="0" w:space="0" w:color="auto"/>
                                            <w:bottom w:val="none" w:sz="0" w:space="0" w:color="auto"/>
                                            <w:right w:val="none" w:sz="0" w:space="0" w:color="auto"/>
                                          </w:divBdr>
                                          <w:divsChild>
                                            <w:div w:id="190730377">
                                              <w:marLeft w:val="0"/>
                                              <w:marRight w:val="0"/>
                                              <w:marTop w:val="0"/>
                                              <w:marBottom w:val="0"/>
                                              <w:divBdr>
                                                <w:top w:val="none" w:sz="0" w:space="0" w:color="auto"/>
                                                <w:left w:val="none" w:sz="0" w:space="0" w:color="auto"/>
                                                <w:bottom w:val="none" w:sz="0" w:space="0" w:color="auto"/>
                                                <w:right w:val="none" w:sz="0" w:space="0" w:color="auto"/>
                                              </w:divBdr>
                                              <w:divsChild>
                                                <w:div w:id="1780055122">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3747</Words>
  <Characters>21359</Characters>
  <Application>Microsoft Office Word</Application>
  <DocSecurity>0</DocSecurity>
  <Lines>177</Lines>
  <Paragraphs>50</Paragraphs>
  <ScaleCrop>false</ScaleCrop>
  <Company>APPRRR</Company>
  <LinksUpToDate>false</LinksUpToDate>
  <CharactersWithSpaces>25056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Kostelić Ranogajac</dc:creator>
  <cp:keywords/>
  <dc:description/>
  <cp:lastModifiedBy>Vesna Kostelić Ranogajac</cp:lastModifiedBy>
  <cp:revision>1</cp:revision>
  <dcterms:created xsi:type="dcterms:W3CDTF">2017-08-01T08:25:00Z</dcterms:created>
  <dcterms:modified xsi:type="dcterms:W3CDTF">2017-08-01T08:26:00Z</dcterms:modified>
</cp:coreProperties>
</file>